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32"/>
          <w:szCs w:val="32"/>
        </w:rPr>
        <w:t xml:space="preserve">Signal Fidelity, Not Storage Erasure</w:t>
      </w:r>
    </w:p>
    <w:p>
      <w:pPr>
        <w:spacing w:after="80"/>
        <w:jc w:val="center"/>
      </w:pPr>
      <w:r>
        <w:rPr>
          <w:rFonts w:ascii="Times New Roman" w:cs="Times New Roman" w:eastAsia="Times New Roman" w:hAnsi="Times New Roman"/>
          <w:sz w:val="26"/>
          <w:szCs w:val="26"/>
        </w:rPr>
        <w:t xml:space="preserve">A History-Encoding Reframing of Alzheimer’s Disease Pathology</w:t>
      </w:r>
    </w:p>
    <w:p>
      <w:pPr>
        <w:spacing w:after="40"/>
        <w:jc w:val="center"/>
      </w:pPr>
      <w:r>
        <w:rPr>
          <w:rFonts w:ascii="Times New Roman" w:cs="Times New Roman" w:eastAsia="Times New Roman" w:hAnsi="Times New Roman"/>
          <w:i/>
          <w:iCs/>
          <w:sz w:val="22"/>
          <w:szCs w:val="22"/>
        </w:rPr>
        <w:t xml:space="preserve">Matthew J. Goss</w:t>
      </w:r>
    </w:p>
    <w:p>
      <w:pPr>
        <w:spacing w:after="320"/>
        <w:jc w:val="center"/>
      </w:pPr>
      <w:r>
        <w:rPr>
          <w:rFonts w:ascii="Times New Roman" w:cs="Times New Roman" w:eastAsia="Times New Roman" w:hAnsi="Times New Roman"/>
          <w:sz w:val="20"/>
          <w:szCs w:val="20"/>
        </w:rPr>
        <w:t xml:space="preserve">Quantiterate Independent Research — May 2026</w:t>
      </w:r>
    </w:p>
    <w:p>
      <w:pPr>
        <w:spacing w:after="160" w:before="360"/>
      </w:pPr>
      <w:r>
        <w:rPr>
          <w:rFonts w:ascii="Times New Roman" w:cs="Times New Roman" w:eastAsia="Times New Roman" w:hAnsi="Times New Roman"/>
          <w:b/>
          <w:bCs/>
          <w:sz w:val="24"/>
          <w:szCs w:val="24"/>
        </w:rPr>
        <w:t xml:space="preserve">Abstract</w:t>
      </w:r>
    </w:p>
    <w:p>
      <w:pPr>
        <w:spacing w:after="160" w:line="360"/>
        <w:jc w:val="both"/>
      </w:pPr>
      <w:r>
        <w:rPr>
          <w:rFonts w:ascii="Times New Roman" w:cs="Times New Roman" w:eastAsia="Times New Roman" w:hAnsi="Times New Roman"/>
          <w:sz w:val="24"/>
          <w:szCs w:val="24"/>
        </w:rPr>
        <w:t xml:space="preserve">The dominant model of Alzheimer’s disease frames progressive memory loss as erasure of stored information — memories encoded in synaptic weights, destroyed by amyloid pathology. Clinical trials targeting amyloid clearance have repeatedly failed to restore cognitive function even when clearance is achieved, suggesting the storage-erasure model may be incomplete. We propose an alternative framing derived from the synaptic residue hypothesis (Goss, 2026a): memories are not stored separately from signals but are embedded in the transmission event itself as associative history payload. Under this model, Alzheimer’s pathology degrades the signal-encoding apparatus rather than erasing stored content. Patients lose contextual self not because memories were removed but because arriving signals no longer carry their associative history. This reframing predicts different therapeutic targets and explains the persistent dissociation between amyloid clearance and functional recovery.</w:t>
      </w:r>
    </w:p>
    <w:p>
      <w:pPr>
        <w:spacing w:after="160" w:before="360"/>
      </w:pPr>
      <w:r>
        <w:rPr>
          <w:rFonts w:ascii="Times New Roman" w:cs="Times New Roman" w:eastAsia="Times New Roman" w:hAnsi="Times New Roman"/>
          <w:b/>
          <w:bCs/>
          <w:sz w:val="24"/>
          <w:szCs w:val="24"/>
        </w:rPr>
        <w:t xml:space="preserve">1. The Failure of the Storage-Erasure Model</w:t>
      </w:r>
    </w:p>
    <w:p>
      <w:pPr>
        <w:spacing w:after="160" w:line="360"/>
        <w:jc w:val="both"/>
      </w:pPr>
      <w:r>
        <w:rPr>
          <w:rFonts w:ascii="Times New Roman" w:cs="Times New Roman" w:eastAsia="Times New Roman" w:hAnsi="Times New Roman"/>
          <w:sz w:val="24"/>
          <w:szCs w:val="24"/>
        </w:rPr>
        <w:t xml:space="preserve">The amyloid cascade hypothesis has dominated Alzheimer’s research for three decades. It proposes that accumulation of amyloid-beta plaques in the brain destroys synaptic connections and, with them, the memories stored in those connections. Therapeutic efforts have therefore focused on clearing amyloid as the primary endpoint.</w:t>
      </w:r>
    </w:p>
    <w:p>
      <w:pPr>
        <w:spacing w:after="160" w:line="360"/>
        <w:ind w:firstLine="480"/>
        <w:jc w:val="both"/>
      </w:pPr>
      <w:r>
        <w:rPr>
          <w:rFonts w:ascii="Times New Roman" w:cs="Times New Roman" w:eastAsia="Times New Roman" w:hAnsi="Times New Roman"/>
          <w:sz w:val="24"/>
          <w:szCs w:val="24"/>
        </w:rPr>
        <w:t xml:space="preserve">The clinical results have been persistently disappointing. Multiple large-scale trials have achieved significant amyloid clearance without corresponding cognitive improvement. Aducanumab, lecanemab, and donanemab have demonstrated measurable plaque reduction in imaging studies, yet functional outcomes have ranged from marginal to statistically insignificant. Patients whose brains are measurably cleared of amyloid continue to decline.</w:t>
      </w:r>
    </w:p>
    <w:p>
      <w:pPr>
        <w:spacing w:after="160" w:line="360"/>
        <w:ind w:firstLine="480"/>
        <w:jc w:val="both"/>
      </w:pPr>
      <w:r>
        <w:rPr>
          <w:rFonts w:ascii="Times New Roman" w:cs="Times New Roman" w:eastAsia="Times New Roman" w:hAnsi="Times New Roman"/>
          <w:sz w:val="24"/>
          <w:szCs w:val="24"/>
        </w:rPr>
        <w:t xml:space="preserve">This dissociation between clearance and recovery is difficult to explain under the storage-erasure model. If amyloid destroys stored memories, removing amyloid should at minimum halt progression. The persistent failure suggests either that amyloid is downstream of the actual pathology, or that the model of what is being damaged is incorrect.</w:t>
      </w:r>
    </w:p>
    <w:p>
      <w:pPr>
        <w:spacing w:after="160" w:line="360"/>
        <w:ind w:firstLine="480"/>
        <w:jc w:val="both"/>
      </w:pPr>
      <w:r>
        <w:rPr>
          <w:rFonts w:ascii="Times New Roman" w:cs="Times New Roman" w:eastAsia="Times New Roman" w:hAnsi="Times New Roman"/>
          <w:sz w:val="24"/>
          <w:szCs w:val="24"/>
        </w:rPr>
        <w:t xml:space="preserve">We propose the latter. The model of memory as stored information, erased by plaque accumulation, may be fundamentally incomplete.</w:t>
      </w:r>
    </w:p>
    <w:p>
      <w:pPr>
        <w:spacing w:after="160" w:before="360"/>
      </w:pPr>
      <w:r>
        <w:rPr>
          <w:rFonts w:ascii="Times New Roman" w:cs="Times New Roman" w:eastAsia="Times New Roman" w:hAnsi="Times New Roman"/>
          <w:b/>
          <w:bCs/>
          <w:sz w:val="24"/>
          <w:szCs w:val="24"/>
        </w:rPr>
        <w:t xml:space="preserve">2. The Synaptic Residue Framework</w:t>
      </w:r>
    </w:p>
    <w:p>
      <w:pPr>
        <w:spacing w:after="160" w:line="360"/>
        <w:jc w:val="both"/>
      </w:pPr>
      <w:r>
        <w:rPr>
          <w:rFonts w:ascii="Times New Roman" w:cs="Times New Roman" w:eastAsia="Times New Roman" w:hAnsi="Times New Roman"/>
          <w:sz w:val="24"/>
          <w:szCs w:val="24"/>
        </w:rPr>
        <w:t xml:space="preserve">Goss (2026a) proposed that each signal crossing the synaptic gap carries an encoded residue of all prior signals that have traversed that synapse, incorporated at the moment of transmission. Under this framework, memory is not a stored object located at the synapse. Memory is a property of the signal itself — the residue of prior activity that is loaded into each new signal as it crosses the gap.</w:t>
      </w:r>
    </w:p>
    <w:p>
      <w:pPr>
        <w:spacing w:after="160" w:line="360"/>
        <w:ind w:firstLine="480"/>
        <w:jc w:val="both"/>
      </w:pPr>
      <w:r>
        <w:rPr>
          <w:rFonts w:ascii="Times New Roman" w:cs="Times New Roman" w:eastAsia="Times New Roman" w:hAnsi="Times New Roman"/>
          <w:sz w:val="24"/>
          <w:szCs w:val="24"/>
        </w:rPr>
        <w:t xml:space="preserve">The physical substrate for this residue is experimentally confirmed. CaMKII molecular memory persists beyond complete protein turnover, with activation state transferring to newly synthesized molecules indefinitely. Activity-silent synaptic traces encode stimulus information between trials, invisible to standard activity measures, reigniting when subsequent signals arrive.</w:t>
      </w:r>
    </w:p>
    <w:p>
      <w:pPr>
        <w:spacing w:after="160" w:line="360"/>
        <w:ind w:firstLine="480"/>
        <w:jc w:val="both"/>
      </w:pPr>
      <w:r>
        <w:rPr>
          <w:rFonts w:ascii="Times New Roman" w:cs="Times New Roman" w:eastAsia="Times New Roman" w:hAnsi="Times New Roman"/>
          <w:sz w:val="24"/>
          <w:szCs w:val="24"/>
        </w:rPr>
        <w:t xml:space="preserve">Under this framework, the receiving neuron does not retrieve context from a separate storage system. It decodes a signal that already contains context. Memory is not retrieval. Memory is transmission.</w:t>
      </w:r>
    </w:p>
    <w:p>
      <w:pPr>
        <w:spacing w:after="160" w:before="360"/>
      </w:pPr>
      <w:r>
        <w:rPr>
          <w:rFonts w:ascii="Times New Roman" w:cs="Times New Roman" w:eastAsia="Times New Roman" w:hAnsi="Times New Roman"/>
          <w:b/>
          <w:bCs/>
          <w:sz w:val="24"/>
          <w:szCs w:val="24"/>
        </w:rPr>
        <w:t xml:space="preserve">3. Alzheimer’s as Signal Fidelity Degradation</w:t>
      </w:r>
    </w:p>
    <w:p>
      <w:pPr>
        <w:spacing w:after="160" w:line="360"/>
        <w:jc w:val="both"/>
      </w:pPr>
      <w:r>
        <w:rPr>
          <w:rFonts w:ascii="Times New Roman" w:cs="Times New Roman" w:eastAsia="Times New Roman" w:hAnsi="Times New Roman"/>
          <w:sz w:val="24"/>
          <w:szCs w:val="24"/>
        </w:rPr>
        <w:t xml:space="preserve">If memory is embedded in the signal rather than stored at the synapse, then Alzheimer’s pathology must be reinterpreted. The disease is not erasing stored memories. It is degrading the mechanism by which the synaptic residue is loaded into each new signal.</w:t>
      </w:r>
    </w:p>
    <w:p>
      <w:pPr>
        <w:spacing w:after="160" w:line="360"/>
        <w:ind w:firstLine="480"/>
        <w:jc w:val="both"/>
      </w:pPr>
      <w:r>
        <w:rPr>
          <w:rFonts w:ascii="Times New Roman" w:cs="Times New Roman" w:eastAsia="Times New Roman" w:hAnsi="Times New Roman"/>
          <w:sz w:val="24"/>
          <w:szCs w:val="24"/>
        </w:rPr>
        <w:t xml:space="preserve">Under this model, the signal still fires. The neurotransmitter still crosses the gap. But the residue — the encoded history of all prior signals — is corrupted, incomplete, or absent. The downstream neuron receives a signal stripped of its associative context. It is noise where there should be meaning.</w:t>
      </w:r>
    </w:p>
    <w:p>
      <w:pPr>
        <w:spacing w:after="160" w:line="360"/>
        <w:ind w:firstLine="480"/>
        <w:jc w:val="both"/>
      </w:pPr>
      <w:r>
        <w:rPr>
          <w:rFonts w:ascii="Times New Roman" w:cs="Times New Roman" w:eastAsia="Times New Roman" w:hAnsi="Times New Roman"/>
          <w:sz w:val="24"/>
          <w:szCs w:val="24"/>
        </w:rPr>
        <w:t xml:space="preserve">This explains several features of Alzheimer’s that the storage-erasure model handles poorly. First, the dissociation between amyloid clearance and functional recovery: if the damage is to the residue-encoding mechanism, clearing the agent of damage does not restore the mechanism. The encoding apparatus must be repaired, not merely unblocked. Second, the preservation of procedural and musical memory late into the disease: these memories may rely on different residue-encoding pathways that are more robust to amyloid disruption. Third, the phenomenon of sundowning, in which cognitive function deteriorates predictably in the evening: residue-encoding fidelity may be metabolically expensive and degrade with fatigue, independent of structural damage.</w:t>
      </w:r>
    </w:p>
    <w:p>
      <w:pPr>
        <w:spacing w:after="160" w:line="360"/>
        <w:ind w:firstLine="480"/>
        <w:jc w:val="both"/>
      </w:pPr>
      <w:r>
        <w:rPr>
          <w:rFonts w:ascii="Times New Roman" w:cs="Times New Roman" w:eastAsia="Times New Roman" w:hAnsi="Times New Roman"/>
          <w:sz w:val="24"/>
          <w:szCs w:val="24"/>
        </w:rPr>
        <w:t xml:space="preserve">Fourth, and most poignantly, the common clinical observation that Alzheimer’s patients retain emotional responses to familiar stimuli even when they cannot articulate what the stimuli are. Under the storage-erasure model, this is paradoxical — the memory is supposedly erased, yet the emotional response persists. Under the residue model, the emotional component of the residue may be encoded through a different mechanism than the semantic component, and may survive longer. The patient still receives some residue — enough for emotional recognition — but not enough for contextual articulation.</w:t>
      </w:r>
    </w:p>
    <w:p>
      <w:pPr>
        <w:spacing w:after="160" w:before="360"/>
      </w:pPr>
      <w:r>
        <w:rPr>
          <w:rFonts w:ascii="Times New Roman" w:cs="Times New Roman" w:eastAsia="Times New Roman" w:hAnsi="Times New Roman"/>
          <w:b/>
          <w:bCs/>
          <w:sz w:val="24"/>
          <w:szCs w:val="24"/>
        </w:rPr>
        <w:t xml:space="preserve">4. Isomorphic Failure Modes</w:t>
      </w:r>
    </w:p>
    <w:p>
      <w:pPr>
        <w:spacing w:after="160" w:line="360"/>
        <w:jc w:val="both"/>
      </w:pPr>
      <w:r>
        <w:rPr>
          <w:rFonts w:ascii="Times New Roman" w:cs="Times New Roman" w:eastAsia="Times New Roman" w:hAnsi="Times New Roman"/>
          <w:sz w:val="24"/>
          <w:szCs w:val="24"/>
        </w:rPr>
        <w:t xml:space="preserve">The residue-corruption model of Alzheimer’s finds structural parallels in other systems where history-encoding mechanisms fail.</w:t>
      </w:r>
    </w:p>
    <w:p>
      <w:pPr>
        <w:spacing w:after="160" w:line="360"/>
        <w:ind w:firstLine="480"/>
        <w:jc w:val="both"/>
      </w:pPr>
      <w:r>
        <w:rPr>
          <w:rFonts w:ascii="Times New Roman" w:cs="Times New Roman" w:eastAsia="Times New Roman" w:hAnsi="Times New Roman"/>
          <w:sz w:val="24"/>
          <w:szCs w:val="24"/>
        </w:rPr>
        <w:t xml:space="preserve">In molecular biology, the MCM2-2A mutation disrupts the symmetric segregation of parental histones during cell division. Normally, marked histones carrying epigenetic memory are distributed equally to both daughter cells. When this mechanism fails, daughter cells exhibit elevated epigenetic noise, spurious deposition of repressive modifications, and loss of cell identity. The history is not erased — it is mis-transmitted. The daughter cell receives a corrupted signal and makes wrong decisions.</w:t>
      </w:r>
    </w:p>
    <w:p>
      <w:pPr>
        <w:spacing w:after="160" w:line="360"/>
        <w:ind w:firstLine="480"/>
        <w:jc w:val="both"/>
      </w:pPr>
      <w:r>
        <w:rPr>
          <w:rFonts w:ascii="Times New Roman" w:cs="Times New Roman" w:eastAsia="Times New Roman" w:hAnsi="Times New Roman"/>
          <w:sz w:val="24"/>
          <w:szCs w:val="24"/>
        </w:rPr>
        <w:t xml:space="preserve">In artificial intelligence, when a language model’s context window is corrupted, truncated, or filled with irrelevant information, the model produces outputs that are grammatically fluent but factually ungrounded — hallucinations. The generative mechanism still functions. The signal still fires. But the history that should constrain the output is absent or degraded. The model produces plausible-seeming signals with no valid history encoding.</w:t>
      </w:r>
    </w:p>
    <w:p>
      <w:pPr>
        <w:spacing w:after="160" w:line="360"/>
        <w:ind w:firstLine="480"/>
        <w:jc w:val="both"/>
      </w:pPr>
      <w:r>
        <w:rPr>
          <w:rFonts w:ascii="Times New Roman" w:cs="Times New Roman" w:eastAsia="Times New Roman" w:hAnsi="Times New Roman"/>
          <w:sz w:val="24"/>
          <w:szCs w:val="24"/>
        </w:rPr>
        <w:t xml:space="preserve">These three failure modes — Alzheimer’s, MCM2-2A histone mis-segregation, and AI hallucination — share a structural identity. In each case, the transmission mechanism is intact. The signal fires. But the history payload is corrupted. The result is not silence but noise: output that resembles meaningful signal but lacks the encoded history that would make it meaningful.</w:t>
      </w:r>
    </w:p>
    <w:p>
      <w:pPr>
        <w:spacing w:after="160" w:before="360"/>
      </w:pPr>
      <w:r>
        <w:rPr>
          <w:rFonts w:ascii="Times New Roman" w:cs="Times New Roman" w:eastAsia="Times New Roman" w:hAnsi="Times New Roman"/>
          <w:b/>
          <w:bCs/>
          <w:sz w:val="24"/>
          <w:szCs w:val="24"/>
        </w:rPr>
        <w:t xml:space="preserve">5. Therapeutic Implications</w:t>
      </w:r>
    </w:p>
    <w:p>
      <w:pPr>
        <w:spacing w:after="160" w:line="360"/>
        <w:jc w:val="both"/>
      </w:pPr>
      <w:r>
        <w:rPr>
          <w:rFonts w:ascii="Times New Roman" w:cs="Times New Roman" w:eastAsia="Times New Roman" w:hAnsi="Times New Roman"/>
          <w:sz w:val="24"/>
          <w:szCs w:val="24"/>
        </w:rPr>
        <w:t xml:space="preserve">If the framework is correct, the therapeutic target shifts from amyloid clearance to residue-fidelity restoration. The relevant question is not how to remove the agent of damage but how to restore the mechanism that loads associative history into each new synaptic signal.</w:t>
      </w:r>
    </w:p>
    <w:p>
      <w:pPr>
        <w:spacing w:after="160" w:line="360"/>
        <w:ind w:firstLine="480"/>
        <w:jc w:val="both"/>
      </w:pPr>
      <w:r>
        <w:rPr>
          <w:rFonts w:ascii="Times New Roman" w:cs="Times New Roman" w:eastAsia="Times New Roman" w:hAnsi="Times New Roman"/>
          <w:sz w:val="24"/>
          <w:szCs w:val="24"/>
        </w:rPr>
        <w:t xml:space="preserve">Candidate mechanisms for investigation include CaMKII activation state maintenance, synaptic augmentation dynamics, and the molecular machinery that transfers activity-silent traces into active signal modulation. Each of these is a component of the residue-encoding apparatus, and each is potentially targetable independently of amyloid pathology.</w:t>
      </w:r>
    </w:p>
    <w:p>
      <w:pPr>
        <w:spacing w:after="160" w:line="360"/>
        <w:ind w:firstLine="480"/>
        <w:jc w:val="both"/>
      </w:pPr>
      <w:r>
        <w:rPr>
          <w:rFonts w:ascii="Times New Roman" w:cs="Times New Roman" w:eastAsia="Times New Roman" w:hAnsi="Times New Roman"/>
          <w:sz w:val="24"/>
          <w:szCs w:val="24"/>
        </w:rPr>
        <w:t xml:space="preserve">This does not require abandoning amyloid research. Amyloid may well be the proximate cause of residue-encoding degradation. But the therapeutic endpoint should be assessed by signal-fidelity measures, not by amyloid clearance alone. A treatment that clears amyloid but fails to restore residue encoding will continue to disappoint, as clinical history has repeatedly demonstrated.</w:t>
      </w:r>
    </w:p>
    <w:p>
      <w:pPr>
        <w:spacing w:after="160" w:line="360"/>
        <w:ind w:firstLine="480"/>
        <w:jc w:val="both"/>
      </w:pPr>
      <w:r>
        <w:rPr>
          <w:rFonts w:ascii="Times New Roman" w:cs="Times New Roman" w:eastAsia="Times New Roman" w:hAnsi="Times New Roman"/>
          <w:sz w:val="24"/>
          <w:szCs w:val="24"/>
        </w:rPr>
        <w:t xml:space="preserve">A specific, testable prediction distinguishes this model from the storage-erasure model: if the residue-encoding mechanism can be pharmacologically supported or restored in early-stage Alzheimer’s patients, contextual memory function should improve even without amyloid reduction. Conversely, if amyloid is cleared but residue-encoding is not restored, function should not improve. The existing clinical record is more consistent with the residue model than with storage-erasure.</w:t>
      </w:r>
    </w:p>
    <w:p>
      <w:pPr>
        <w:spacing w:after="160" w:before="360"/>
      </w:pPr>
      <w:r>
        <w:rPr>
          <w:rFonts w:ascii="Times New Roman" w:cs="Times New Roman" w:eastAsia="Times New Roman" w:hAnsi="Times New Roman"/>
          <w:b/>
          <w:bCs/>
          <w:sz w:val="24"/>
          <w:szCs w:val="24"/>
        </w:rPr>
        <w:t xml:space="preserve">6. Conclusion</w:t>
      </w:r>
    </w:p>
    <w:p>
      <w:pPr>
        <w:spacing w:after="160" w:line="360"/>
        <w:jc w:val="both"/>
      </w:pPr>
      <w:r>
        <w:rPr>
          <w:rFonts w:ascii="Times New Roman" w:cs="Times New Roman" w:eastAsia="Times New Roman" w:hAnsi="Times New Roman"/>
          <w:sz w:val="24"/>
          <w:szCs w:val="24"/>
        </w:rPr>
        <w:t xml:space="preserve">We propose that Alzheimer’s disease is a disorder of signal fidelity, not of storage erasure. Memories are not stored objects destroyed by amyloid plaques. They are encoded residues carried in each synaptic signal, and Alzheimer’s pathology degrades the mechanism by which that residue is loaded into transmission. This reframing explains the persistent failure of amyloid-clearance therapies, the preservation of emotional and procedural memory, and the phenomenon of sundowning. It predicts different therapeutic targets — residue-fidelity restoration rather than plaque removal — and generates a falsifiable distinction from the dominant model. If correct, it reframes the central question of Alzheimer’s research from where memories are stored to how signals carry them.</w:t>
      </w:r>
    </w:p>
    <w:p>
      <w:pPr>
        <w:spacing w:after="160" w:before="360"/>
      </w:pPr>
      <w:r>
        <w:rPr>
          <w:rFonts w:ascii="Times New Roman" w:cs="Times New Roman" w:eastAsia="Times New Roman" w:hAnsi="Times New Roman"/>
          <w:b/>
          <w:bCs/>
          <w:sz w:val="24"/>
          <w:szCs w:val="24"/>
        </w:rPr>
        <w:t xml:space="preserve">References</w:t>
      </w:r>
    </w:p>
    <w:p>
      <w:pPr>
        <w:spacing w:after="80" w:line="276"/>
        <w:ind w:left="480" w:hanging="480"/>
      </w:pPr>
      <w:r>
        <w:rPr>
          <w:rFonts w:ascii="Times New Roman" w:cs="Times New Roman" w:eastAsia="Times New Roman" w:hAnsi="Times New Roman"/>
          <w:sz w:val="20"/>
          <w:szCs w:val="20"/>
        </w:rPr>
        <w:t xml:space="preserve">Bhatt, D.H., Zhang, S., &amp; Bhatt, D. (2022). Synaptic memory survives molecular turnover. PNAS, 119(42), e2211572119.</w:t>
      </w:r>
    </w:p>
    <w:p>
      <w:pPr>
        <w:spacing w:after="80" w:line="276"/>
        <w:ind w:left="480" w:hanging="480"/>
      </w:pPr>
      <w:r>
        <w:rPr>
          <w:rFonts w:ascii="Times New Roman" w:cs="Times New Roman" w:eastAsia="Times New Roman" w:hAnsi="Times New Roman"/>
          <w:sz w:val="20"/>
          <w:szCs w:val="20"/>
        </w:rPr>
        <w:t xml:space="preserve">Goss, M.J. (2026a). On the Residue of Prior Signals. Quantiterate Independent Research.</w:t>
      </w:r>
    </w:p>
    <w:p>
      <w:pPr>
        <w:spacing w:after="80" w:line="276"/>
        <w:ind w:left="480" w:hanging="480"/>
      </w:pPr>
      <w:r>
        <w:rPr>
          <w:rFonts w:ascii="Times New Roman" w:cs="Times New Roman" w:eastAsia="Times New Roman" w:hAnsi="Times New Roman"/>
          <w:sz w:val="20"/>
          <w:szCs w:val="20"/>
        </w:rPr>
        <w:t xml:space="preserve">Barbosa, J., et al. (2020). Interplay between persistent activity and activity-silent dynamics in prefrontal cortex. Nature Neuroscience, 23(8), 1016–1024.</w:t>
      </w:r>
    </w:p>
    <w:p>
      <w:pPr>
        <w:spacing w:after="80" w:line="276"/>
        <w:ind w:left="480" w:hanging="480"/>
      </w:pPr>
      <w:r>
        <w:rPr>
          <w:rFonts w:ascii="Times New Roman" w:cs="Times New Roman" w:eastAsia="Times New Roman" w:hAnsi="Times New Roman"/>
          <w:sz w:val="20"/>
          <w:szCs w:val="20"/>
        </w:rPr>
        <w:t xml:space="preserve">Bhatt, N., et al. (2024). Asymmetric histone inheritance and epigenetic noise. Science, 384(6693), 282–289.</w:t>
      </w:r>
    </w:p>
    <w:p>
      <w:pPr>
        <w:spacing w:after="80" w:line="276"/>
        <w:ind w:left="480" w:hanging="480"/>
      </w:pPr>
      <w:r>
        <w:rPr>
          <w:rFonts w:ascii="Times New Roman" w:cs="Times New Roman" w:eastAsia="Times New Roman" w:hAnsi="Times New Roman"/>
          <w:sz w:val="20"/>
          <w:szCs w:val="20"/>
        </w:rPr>
        <w:t xml:space="preserve">Mongillo, G. &amp; Tsodyks, M. (2025). Synaptic footprints of time in working memory. eLife, 14, e110590.</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2026-05-10T12:22:14.954Z</dcterms:created>
  <dcterms:modified xsi:type="dcterms:W3CDTF">2026-05-10T12:22:14.968Z</dcterms:modified>
</cp:coreProperties>
</file>

<file path=docProps/custom.xml><?xml version="1.0" encoding="utf-8"?>
<Properties xmlns="http://schemas.openxmlformats.org/officeDocument/2006/custom-properties" xmlns:vt="http://schemas.openxmlformats.org/officeDocument/2006/docPropsVTypes"/>
</file>