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z w:val="32"/>
          <w:szCs w:val="32"/>
        </w:rPr>
        <w:t xml:space="preserve">History-Encoded Signals</w:t>
      </w:r>
    </w:p>
    <w:p>
      <w:pPr>
        <w:spacing w:after="80"/>
        <w:jc w:val="center"/>
      </w:pPr>
      <w:r>
        <w:rPr>
          <w:rFonts w:ascii="Times New Roman" w:cs="Times New Roman" w:eastAsia="Times New Roman" w:hAnsi="Times New Roman"/>
          <w:sz w:val="26"/>
          <w:szCs w:val="26"/>
        </w:rPr>
        <w:t xml:space="preserve">A Universal Principle in Information-Bearing Systems</w:t>
      </w:r>
    </w:p>
    <w:p>
      <w:pPr>
        <w:spacing w:after="40"/>
        <w:jc w:val="center"/>
      </w:pPr>
      <w:r>
        <w:rPr>
          <w:rFonts w:ascii="Times New Roman" w:cs="Times New Roman" w:eastAsia="Times New Roman" w:hAnsi="Times New Roman"/>
          <w:i/>
          <w:iCs/>
          <w:sz w:val="22"/>
          <w:szCs w:val="22"/>
        </w:rPr>
        <w:t xml:space="preserve">Matthew J. Goss</w:t>
      </w:r>
    </w:p>
    <w:p>
      <w:pPr>
        <w:spacing w:after="320"/>
        <w:jc w:val="center"/>
      </w:pPr>
      <w:r>
        <w:rPr>
          <w:rFonts w:ascii="Times New Roman" w:cs="Times New Roman" w:eastAsia="Times New Roman" w:hAnsi="Times New Roman"/>
          <w:sz w:val="20"/>
          <w:szCs w:val="20"/>
        </w:rPr>
        <w:t xml:space="preserve">Quantiterate Independent Research — May 2026</w:t>
      </w:r>
    </w:p>
    <w:p>
      <w:pPr>
        <w:spacing w:after="160" w:before="360"/>
      </w:pPr>
      <w:r>
        <w:rPr>
          <w:rFonts w:ascii="Times New Roman" w:cs="Times New Roman" w:eastAsia="Times New Roman" w:hAnsi="Times New Roman"/>
          <w:b/>
          <w:bCs/>
          <w:sz w:val="24"/>
          <w:szCs w:val="24"/>
        </w:rPr>
        <w:t xml:space="preserve">Abstract</w:t>
      </w:r>
    </w:p>
    <w:p>
      <w:pPr>
        <w:spacing w:after="160" w:line="360"/>
        <w:jc w:val="both"/>
      </w:pPr>
      <w:r>
        <w:rPr>
          <w:rFonts w:ascii="Times New Roman" w:cs="Times New Roman" w:eastAsia="Times New Roman" w:hAnsi="Times New Roman"/>
          <w:sz w:val="24"/>
          <w:szCs w:val="24"/>
        </w:rPr>
        <w:t xml:space="preserve">We identify a structural pattern appearing across fifteen domains ranging from prebiotic chemistry to transformer neural networks: meaningful signals carry embedded representation of their own prior history at the moment of transmission, not as a separate retrievable record. We term this the History-Encoding Principle and identify four invariant structural components that appear at every observed scale: the signal, the history payload, the temporal marker, and the tamper-evidence mechanism. We document the pattern in RNA replication, mitotic histone transfer, immune memory, synaptic transmission, computational version control, blockchain architecture, machine learning attention mechanisms, quantum entanglement, number theory, financial markets, music, and cosmology. We propose that the universality of this pattern reflects a structural requirement of information-bearing systems under selection pressure: systems that must act meaningfully rather than merely react encode their history into their signals.</w:t>
      </w:r>
    </w:p>
    <w:p>
      <w:pPr>
        <w:spacing w:after="160" w:before="360"/>
      </w:pPr>
      <w:r>
        <w:rPr>
          <w:rFonts w:ascii="Times New Roman" w:cs="Times New Roman" w:eastAsia="Times New Roman" w:hAnsi="Times New Roman"/>
          <w:b/>
          <w:bCs/>
          <w:sz w:val="24"/>
          <w:szCs w:val="24"/>
        </w:rPr>
        <w:t xml:space="preserve">1. The Problem</w:t>
      </w:r>
    </w:p>
    <w:p>
      <w:pPr>
        <w:spacing w:after="160" w:line="360"/>
        <w:jc w:val="both"/>
      </w:pPr>
      <w:r>
        <w:rPr>
          <w:rFonts w:ascii="Times New Roman" w:cs="Times New Roman" w:eastAsia="Times New Roman" w:hAnsi="Times New Roman"/>
          <w:sz w:val="24"/>
          <w:szCs w:val="24"/>
        </w:rPr>
        <w:t xml:space="preserve">A signal without context is noise. A photon without origin information is indistinguishable from thermal background. A neurotransmitter molecule without synaptic history carries only its chemical identity. A prime number without implicit reference to all prior primes is merely an integer. In each case, the signal becomes meaningful only when it carries, explicitly or implicitly, the history of the system that produced it.</w:t>
      </w:r>
    </w:p>
    <w:p>
      <w:pPr>
        <w:spacing w:after="160" w:line="360"/>
        <w:ind w:firstLine="480"/>
        <w:jc w:val="both"/>
      </w:pPr>
      <w:r>
        <w:rPr>
          <w:rFonts w:ascii="Times New Roman" w:cs="Times New Roman" w:eastAsia="Times New Roman" w:hAnsi="Times New Roman"/>
          <w:sz w:val="24"/>
          <w:szCs w:val="24"/>
        </w:rPr>
        <w:t xml:space="preserve">Current models in most domains treat history and signal as separate. In neuroscience, the signal crosses the synapse and the network provides context. In computing, the data is transmitted and the database provides state. In physics, the particle propagates and the field provides the laws. We propose that in every observed case, the signal itself carries history, and that this is not incidental but structural.</w:t>
      </w:r>
    </w:p>
    <w:p>
      <w:pPr>
        <w:spacing w:after="160" w:before="360"/>
      </w:pPr>
      <w:r>
        <w:rPr>
          <w:rFonts w:ascii="Times New Roman" w:cs="Times New Roman" w:eastAsia="Times New Roman" w:hAnsi="Times New Roman"/>
          <w:b/>
          <w:bCs/>
          <w:sz w:val="24"/>
          <w:szCs w:val="24"/>
        </w:rPr>
        <w:t xml:space="preserve">2. The Four Components</w:t>
      </w:r>
    </w:p>
    <w:p>
      <w:pPr>
        <w:spacing w:after="160" w:line="360"/>
        <w:jc w:val="both"/>
      </w:pPr>
      <w:r>
        <w:rPr>
          <w:rFonts w:ascii="Times New Roman" w:cs="Times New Roman" w:eastAsia="Times New Roman" w:hAnsi="Times New Roman"/>
          <w:sz w:val="24"/>
          <w:szCs w:val="24"/>
        </w:rPr>
        <w:t xml:space="preserve">Across all fifteen domains examined, four structural components appear consistently.</w:t>
      </w:r>
    </w:p>
    <w:p>
      <w:pPr>
        <w:spacing w:after="160" w:line="360"/>
        <w:ind w:firstLine="480"/>
        <w:jc w:val="both"/>
      </w:pPr>
      <w:r>
        <w:rPr>
          <w:rFonts w:ascii="Times New Roman" w:cs="Times New Roman" w:eastAsia="Times New Roman" w:hAnsi="Times New Roman"/>
          <w:b w:val="false"/>
          <w:bCs w:val="false"/>
          <w:i/>
          <w:iCs/>
          <w:sz w:val="24"/>
          <w:szCs w:val="24"/>
        </w:rPr>
        <w:t xml:space="preserve">The signal: </w:t>
      </w:r>
      <w:r>
        <w:rPr>
          <w:rFonts w:ascii="Times New Roman" w:cs="Times New Roman" w:eastAsia="Times New Roman" w:hAnsi="Times New Roman"/>
          <w:b w:val="false"/>
          <w:bCs w:val="false"/>
          <w:i w:val="false"/>
          <w:iCs w:val="false"/>
          <w:sz w:val="24"/>
          <w:szCs w:val="24"/>
        </w:rPr>
        <w:t xml:space="preserve">the object that crosses a boundary or gap. A photon crossing space. A neurotransmitter crossing a synapse. A commit entering a repository. A prime emerging from the sieve. In each case, something crosses from one domain to another.</w:t>
      </w:r>
    </w:p>
    <w:p>
      <w:pPr>
        <w:spacing w:after="160" w:line="360"/>
        <w:ind w:firstLine="480"/>
        <w:jc w:val="both"/>
      </w:pPr>
      <w:r>
        <w:rPr>
          <w:rFonts w:ascii="Times New Roman" w:cs="Times New Roman" w:eastAsia="Times New Roman" w:hAnsi="Times New Roman"/>
          <w:b w:val="false"/>
          <w:bCs w:val="false"/>
          <w:i/>
          <w:iCs/>
          <w:sz w:val="24"/>
          <w:szCs w:val="24"/>
        </w:rPr>
        <w:t xml:space="preserve">The history payload: </w:t>
      </w:r>
      <w:r>
        <w:rPr>
          <w:rFonts w:ascii="Times New Roman" w:cs="Times New Roman" w:eastAsia="Times New Roman" w:hAnsi="Times New Roman"/>
          <w:b w:val="false"/>
          <w:bCs w:val="false"/>
          <w:i w:val="false"/>
          <w:iCs w:val="false"/>
          <w:sz w:val="24"/>
          <w:szCs w:val="24"/>
        </w:rPr>
        <w:t xml:space="preserve">prior state compressed and embedded inside the signal. The photon carries its origin’s frequency, polarization, and redshift. The daughter cell carries parental histone marks. The Git commit carries the hash of every prior commit. The signal is not bare. It arrives laden.</w:t>
      </w:r>
    </w:p>
    <w:p>
      <w:pPr>
        <w:spacing w:after="160" w:line="360"/>
        <w:ind w:firstLine="480"/>
        <w:jc w:val="both"/>
      </w:pPr>
      <w:r>
        <w:rPr>
          <w:rFonts w:ascii="Times New Roman" w:cs="Times New Roman" w:eastAsia="Times New Roman" w:hAnsi="Times New Roman"/>
          <w:b w:val="false"/>
          <w:bCs w:val="false"/>
          <w:i/>
          <w:iCs/>
          <w:sz w:val="24"/>
          <w:szCs w:val="24"/>
        </w:rPr>
        <w:t xml:space="preserve">The temporal marker: </w:t>
      </w:r>
      <w:r>
        <w:rPr>
          <w:rFonts w:ascii="Times New Roman" w:cs="Times New Roman" w:eastAsia="Times New Roman" w:hAnsi="Times New Roman"/>
          <w:b w:val="false"/>
          <w:bCs w:val="false"/>
          <w:i w:val="false"/>
          <w:iCs w:val="false"/>
          <w:sz w:val="24"/>
          <w:szCs w:val="24"/>
        </w:rPr>
        <w:t xml:space="preserve">information about when and in what order the signal was produced relative to prior signals. The Unix timestamp in a Git commit. The positional encoding in a transformer. The methylation age in an epigenetic mark. The generation count in a cell lineage. Time is not external to the signal. It is part of the payload.</w:t>
      </w:r>
    </w:p>
    <w:p>
      <w:pPr>
        <w:spacing w:after="160" w:line="360"/>
        <w:ind w:firstLine="480"/>
        <w:jc w:val="both"/>
      </w:pPr>
      <w:r>
        <w:rPr>
          <w:rFonts w:ascii="Times New Roman" w:cs="Times New Roman" w:eastAsia="Times New Roman" w:hAnsi="Times New Roman"/>
          <w:b w:val="false"/>
          <w:bCs w:val="false"/>
          <w:i/>
          <w:iCs/>
          <w:sz w:val="24"/>
          <w:szCs w:val="24"/>
        </w:rPr>
        <w:t xml:space="preserve">The tamper-evidence mechanism: </w:t>
      </w:r>
      <w:r>
        <w:rPr>
          <w:rFonts w:ascii="Times New Roman" w:cs="Times New Roman" w:eastAsia="Times New Roman" w:hAnsi="Times New Roman"/>
          <w:b w:val="false"/>
          <w:bCs w:val="false"/>
          <w:i w:val="false"/>
          <w:iCs w:val="false"/>
          <w:sz w:val="24"/>
          <w:szCs w:val="24"/>
        </w:rPr>
        <w:t xml:space="preserve">a structural property that makes corruption of the history payload detectable. The SHA hash in Git that breaks when any prior state is altered. The MCM2-2A epigenetic noise that appears when histone transfer is asymmetric. The hallucination that appears when an AI’s context is corrupted. In each case, damage to the history encoding produces a detectable signal of its own.</w:t>
      </w:r>
    </w:p>
    <w:p>
      <w:pPr>
        <w:spacing w:after="160" w:before="360"/>
      </w:pPr>
      <w:r>
        <w:rPr>
          <w:rFonts w:ascii="Times New Roman" w:cs="Times New Roman" w:eastAsia="Times New Roman" w:hAnsi="Times New Roman"/>
          <w:b/>
          <w:bCs/>
          <w:sz w:val="24"/>
          <w:szCs w:val="24"/>
        </w:rPr>
        <w:t xml:space="preserve">3. The Evidence</w:t>
      </w:r>
    </w:p>
    <w:p>
      <w:pPr>
        <w:spacing w:after="160" w:line="360"/>
        <w:jc w:val="both"/>
      </w:pPr>
      <w:r>
        <w:rPr>
          <w:rFonts w:ascii="Times New Roman" w:cs="Times New Roman" w:eastAsia="Times New Roman" w:hAnsi="Times New Roman"/>
          <w:b w:val="false"/>
          <w:bCs w:val="false"/>
          <w:i/>
          <w:iCs/>
          <w:sz w:val="24"/>
          <w:szCs w:val="24"/>
        </w:rPr>
        <w:t xml:space="preserve">Prebiotic chemistry. </w:t>
      </w:r>
      <w:r>
        <w:rPr>
          <w:rFonts w:ascii="Times New Roman" w:cs="Times New Roman" w:eastAsia="Times New Roman" w:hAnsi="Times New Roman"/>
          <w:b w:val="false"/>
          <w:bCs w:val="false"/>
          <w:i w:val="false"/>
          <w:iCs w:val="false"/>
          <w:sz w:val="24"/>
          <w:szCs w:val="24"/>
        </w:rPr>
        <w:t xml:space="preserve">The first self-replicating RNA molecule was not copying a neutral sequence. It was copying a molecule shaped by every chemical interaction it had survived. The sequence that reached replication was a compressed history of what worked. This is the History-Encoding Principle at the origin of life.</w:t>
      </w:r>
    </w:p>
    <w:p>
      <w:pPr>
        <w:spacing w:after="160" w:line="360"/>
        <w:ind w:firstLine="480"/>
        <w:jc w:val="both"/>
      </w:pPr>
      <w:r>
        <w:rPr>
          <w:rFonts w:ascii="Times New Roman" w:cs="Times New Roman" w:eastAsia="Times New Roman" w:hAnsi="Times New Roman"/>
          <w:b w:val="false"/>
          <w:bCs w:val="false"/>
          <w:i/>
          <w:iCs/>
          <w:sz w:val="24"/>
          <w:szCs w:val="24"/>
        </w:rPr>
        <w:t xml:space="preserve">Mitosis. </w:t>
      </w:r>
      <w:r>
        <w:rPr>
          <w:rFonts w:ascii="Times New Roman" w:cs="Times New Roman" w:eastAsia="Times New Roman" w:hAnsi="Times New Roman"/>
          <w:b w:val="false"/>
          <w:bCs w:val="false"/>
          <w:i w:val="false"/>
          <w:iCs w:val="false"/>
          <w:sz w:val="24"/>
          <w:szCs w:val="24"/>
        </w:rPr>
        <w:t xml:space="preserve">During cell division, parental histones carrying epigenetic modifications are distributed to daughter cells. The daughter does not receive bare DNA. It receives annotated, experientially modified chromatin. When this transfer is disrupted (MCM2-2A mutant), the daughter exhibits elevated epigenetic noise and loss of cell identity. The history is load-bearing.</w:t>
      </w:r>
    </w:p>
    <w:p>
      <w:pPr>
        <w:spacing w:after="160" w:line="360"/>
        <w:ind w:firstLine="480"/>
        <w:jc w:val="both"/>
      </w:pPr>
      <w:r>
        <w:rPr>
          <w:rFonts w:ascii="Times New Roman" w:cs="Times New Roman" w:eastAsia="Times New Roman" w:hAnsi="Times New Roman"/>
          <w:b w:val="false"/>
          <w:bCs w:val="false"/>
          <w:i/>
          <w:iCs/>
          <w:sz w:val="24"/>
          <w:szCs w:val="24"/>
        </w:rPr>
        <w:t xml:space="preserve">Immunology. </w:t>
      </w:r>
      <w:r>
        <w:rPr>
          <w:rFonts w:ascii="Times New Roman" w:cs="Times New Roman" w:eastAsia="Times New Roman" w:hAnsi="Times New Roman"/>
          <w:b w:val="false"/>
          <w:bCs w:val="false"/>
          <w:i w:val="false"/>
          <w:iCs w:val="false"/>
          <w:sz w:val="24"/>
          <w:szCs w:val="24"/>
        </w:rPr>
        <w:t xml:space="preserve">Memory B and T cells retain the history of prior antigen encounters. Future signals from the same antigen are decoded against this accumulated history, producing faster and more specific responses. The signal is the same. The history changes the response.</w:t>
      </w:r>
    </w:p>
    <w:p>
      <w:pPr>
        <w:spacing w:after="160" w:line="360"/>
        <w:ind w:firstLine="480"/>
        <w:jc w:val="both"/>
      </w:pPr>
      <w:r>
        <w:rPr>
          <w:rFonts w:ascii="Times New Roman" w:cs="Times New Roman" w:eastAsia="Times New Roman" w:hAnsi="Times New Roman"/>
          <w:b w:val="false"/>
          <w:bCs w:val="false"/>
          <w:i/>
          <w:iCs/>
          <w:sz w:val="24"/>
          <w:szCs w:val="24"/>
        </w:rPr>
        <w:t xml:space="preserve">Synaptic transmission. </w:t>
      </w:r>
      <w:r>
        <w:rPr>
          <w:rFonts w:ascii="Times New Roman" w:cs="Times New Roman" w:eastAsia="Times New Roman" w:hAnsi="Times New Roman"/>
          <w:b w:val="false"/>
          <w:bCs w:val="false"/>
          <w:i w:val="false"/>
          <w:iCs w:val="false"/>
          <w:sz w:val="24"/>
          <w:szCs w:val="24"/>
        </w:rPr>
        <w:t xml:space="preserve">Activity-silent synaptic traces encode prior stimulus history in CaMKII molecular memory that persists beyond complete protein turnover. Each new signal crossing the synapse is modulated by this residue. The signal carries the history of the synapse (Goss, 2026a).</w:t>
      </w:r>
    </w:p>
    <w:p>
      <w:pPr>
        <w:spacing w:after="160" w:line="360"/>
        <w:ind w:firstLine="480"/>
        <w:jc w:val="both"/>
      </w:pPr>
      <w:r>
        <w:rPr>
          <w:rFonts w:ascii="Times New Roman" w:cs="Times New Roman" w:eastAsia="Times New Roman" w:hAnsi="Times New Roman"/>
          <w:b w:val="false"/>
          <w:bCs w:val="false"/>
          <w:i/>
          <w:iCs/>
          <w:sz w:val="24"/>
          <w:szCs w:val="24"/>
        </w:rPr>
        <w:t xml:space="preserve">Version control (Git). </w:t>
      </w:r>
      <w:r>
        <w:rPr>
          <w:rFonts w:ascii="Times New Roman" w:cs="Times New Roman" w:eastAsia="Times New Roman" w:hAnsi="Times New Roman"/>
          <w:b w:val="false"/>
          <w:bCs w:val="false"/>
          <w:i w:val="false"/>
          <w:iCs w:val="false"/>
          <w:sz w:val="24"/>
          <w:szCs w:val="24"/>
        </w:rPr>
        <w:t xml:space="preserve">Every commit object contains the SHA-1 hash of its parent commit, creating a tamper-evident chain in which each signal (commit) carries the cryptographic fingerprint of every prior state. Altering any point in the history breaks all subsequent hashes. This is the V2 (encrypted, timestamped) variant of the principle running in production at global scale.</w:t>
      </w:r>
    </w:p>
    <w:p>
      <w:pPr>
        <w:spacing w:after="160" w:line="360"/>
        <w:ind w:firstLine="480"/>
        <w:jc w:val="both"/>
      </w:pPr>
      <w:r>
        <w:rPr>
          <w:rFonts w:ascii="Times New Roman" w:cs="Times New Roman" w:eastAsia="Times New Roman" w:hAnsi="Times New Roman"/>
          <w:b w:val="false"/>
          <w:bCs w:val="false"/>
          <w:i/>
          <w:iCs/>
          <w:sz w:val="24"/>
          <w:szCs w:val="24"/>
        </w:rPr>
        <w:t xml:space="preserve">Blockchain. </w:t>
      </w:r>
      <w:r>
        <w:rPr>
          <w:rFonts w:ascii="Times New Roman" w:cs="Times New Roman" w:eastAsia="Times New Roman" w:hAnsi="Times New Roman"/>
          <w:b w:val="false"/>
          <w:bCs w:val="false"/>
          <w:i w:val="false"/>
          <w:iCs w:val="false"/>
          <w:sz w:val="24"/>
          <w:szCs w:val="24"/>
        </w:rPr>
        <w:t xml:space="preserve">Each block contains the hash of the previous block. The signal (transaction) is valid only in the context of the full prior chain. The history is not stored separately. It is structurally embedded in each new block.</w:t>
      </w:r>
    </w:p>
    <w:p>
      <w:pPr>
        <w:spacing w:after="160" w:line="360"/>
        <w:ind w:firstLine="480"/>
        <w:jc w:val="both"/>
      </w:pPr>
      <w:r>
        <w:rPr>
          <w:rFonts w:ascii="Times New Roman" w:cs="Times New Roman" w:eastAsia="Times New Roman" w:hAnsi="Times New Roman"/>
          <w:b w:val="false"/>
          <w:bCs w:val="false"/>
          <w:i/>
          <w:iCs/>
          <w:sz w:val="24"/>
          <w:szCs w:val="24"/>
        </w:rPr>
        <w:t xml:space="preserve">Transformer attention. </w:t>
      </w:r>
      <w:r>
        <w:rPr>
          <w:rFonts w:ascii="Times New Roman" w:cs="Times New Roman" w:eastAsia="Times New Roman" w:hAnsi="Times New Roman"/>
          <w:b w:val="false"/>
          <w:bCs w:val="false"/>
          <w:i w:val="false"/>
          <w:iCs w:val="false"/>
          <w:sz w:val="24"/>
          <w:szCs w:val="24"/>
        </w:rPr>
        <w:t xml:space="preserve">In transformer neural networks, every output token is computed as a weighted sum of all prior tokens in the context window. The output signal literally contains every prior signal, weighted by learned attention. This is the V1 (associative encoding) variant at machine speed.</w:t>
      </w:r>
    </w:p>
    <w:p>
      <w:pPr>
        <w:spacing w:after="160" w:line="360"/>
        <w:ind w:firstLine="480"/>
        <w:jc w:val="both"/>
      </w:pPr>
      <w:r>
        <w:rPr>
          <w:rFonts w:ascii="Times New Roman" w:cs="Times New Roman" w:eastAsia="Times New Roman" w:hAnsi="Times New Roman"/>
          <w:b w:val="false"/>
          <w:bCs w:val="false"/>
          <w:i/>
          <w:iCs/>
          <w:sz w:val="24"/>
          <w:szCs w:val="24"/>
        </w:rPr>
        <w:t xml:space="preserve">Quantum entanglement. </w:t>
      </w:r>
      <w:r>
        <w:rPr>
          <w:rFonts w:ascii="Times New Roman" w:cs="Times New Roman" w:eastAsia="Times New Roman" w:hAnsi="Times New Roman"/>
          <w:b w:val="false"/>
          <w:bCs w:val="false"/>
          <w:i w:val="false"/>
          <w:iCs w:val="false"/>
          <w:sz w:val="24"/>
          <w:szCs w:val="24"/>
        </w:rPr>
        <w:t xml:space="preserve">Entangled particles carry correlated properties from their joint origin event. The correlation persists regardless of spatial separation because it was embedded at the origin, not transmitted at measurement (Goss, 2026c).</w:t>
      </w:r>
    </w:p>
    <w:p>
      <w:pPr>
        <w:spacing w:after="160" w:line="360"/>
        <w:ind w:firstLine="480"/>
        <w:jc w:val="both"/>
      </w:pPr>
      <w:r>
        <w:rPr>
          <w:rFonts w:ascii="Times New Roman" w:cs="Times New Roman" w:eastAsia="Times New Roman" w:hAnsi="Times New Roman"/>
          <w:b w:val="false"/>
          <w:bCs w:val="false"/>
          <w:i/>
          <w:iCs/>
          <w:sz w:val="24"/>
          <w:szCs w:val="24"/>
        </w:rPr>
        <w:t xml:space="preserve">Number theory. </w:t>
      </w:r>
      <w:r>
        <w:rPr>
          <w:rFonts w:ascii="Times New Roman" w:cs="Times New Roman" w:eastAsia="Times New Roman" w:hAnsi="Times New Roman"/>
          <w:b w:val="false"/>
          <w:bCs w:val="false"/>
          <w:i w:val="false"/>
          <w:iCs w:val="false"/>
          <w:sz w:val="24"/>
          <w:szCs w:val="24"/>
        </w:rPr>
        <w:t xml:space="preserve">A prime number is defined by its relationship to all prior primes — by what none of them divide. The prime’s identity is constituted entirely by the encoded history of prior primes. The Fundamental Theorem of Arithmetic ensures that every integer’s prime factorization is a unique, tamper-evident, irreducible history.</w:t>
      </w:r>
    </w:p>
    <w:p>
      <w:pPr>
        <w:spacing w:after="160" w:line="360"/>
        <w:ind w:firstLine="480"/>
        <w:jc w:val="both"/>
      </w:pPr>
      <w:r>
        <w:rPr>
          <w:rFonts w:ascii="Times New Roman" w:cs="Times New Roman" w:eastAsia="Times New Roman" w:hAnsi="Times New Roman"/>
          <w:b w:val="false"/>
          <w:bCs w:val="false"/>
          <w:i/>
          <w:iCs/>
          <w:sz w:val="24"/>
          <w:szCs w:val="24"/>
        </w:rPr>
        <w:t xml:space="preserve">Financial markets. </w:t>
      </w:r>
      <w:r>
        <w:rPr>
          <w:rFonts w:ascii="Times New Roman" w:cs="Times New Roman" w:eastAsia="Times New Roman" w:hAnsi="Times New Roman"/>
          <w:b w:val="false"/>
          <w:bCs w:val="false"/>
          <w:i w:val="false"/>
          <w:iCs w:val="false"/>
          <w:sz w:val="24"/>
          <w:szCs w:val="24"/>
        </w:rPr>
        <w:t xml:space="preserve">The price of an asset at any moment encodes the full history of prior trades, sentiment, and positioning. A bid is not a number. It is the market’s memory compressed into a tick.</w:t>
      </w:r>
    </w:p>
    <w:p>
      <w:pPr>
        <w:spacing w:after="160" w:line="360"/>
        <w:ind w:firstLine="480"/>
        <w:jc w:val="both"/>
      </w:pPr>
      <w:r>
        <w:rPr>
          <w:rFonts w:ascii="Times New Roman" w:cs="Times New Roman" w:eastAsia="Times New Roman" w:hAnsi="Times New Roman"/>
          <w:b w:val="false"/>
          <w:bCs w:val="false"/>
          <w:i/>
          <w:iCs/>
          <w:sz w:val="24"/>
          <w:szCs w:val="24"/>
        </w:rPr>
        <w:t xml:space="preserve">Music. </w:t>
      </w:r>
      <w:r>
        <w:rPr>
          <w:rFonts w:ascii="Times New Roman" w:cs="Times New Roman" w:eastAsia="Times New Roman" w:hAnsi="Times New Roman"/>
          <w:b w:val="false"/>
          <w:bCs w:val="false"/>
          <w:i w:val="false"/>
          <w:iCs w:val="false"/>
          <w:sz w:val="24"/>
          <w:szCs w:val="24"/>
        </w:rPr>
        <w:t xml:space="preserve">A note heard in measure forty is emotionally conditioned by every note that preceded it. The same pitch has different meaning depending on its tonal history. The signal is physically identical. The receiver decodes it against accumulated context.</w:t>
      </w:r>
    </w:p>
    <w:p>
      <w:pPr>
        <w:spacing w:after="160" w:line="360"/>
        <w:ind w:firstLine="480"/>
        <w:jc w:val="both"/>
      </w:pPr>
      <w:r>
        <w:rPr>
          <w:rFonts w:ascii="Times New Roman" w:cs="Times New Roman" w:eastAsia="Times New Roman" w:hAnsi="Times New Roman"/>
          <w:b w:val="false"/>
          <w:bCs w:val="false"/>
          <w:i/>
          <w:iCs/>
          <w:sz w:val="24"/>
          <w:szCs w:val="24"/>
        </w:rPr>
        <w:t xml:space="preserve">Cosmology. </w:t>
      </w:r>
      <w:r>
        <w:rPr>
          <w:rFonts w:ascii="Times New Roman" w:cs="Times New Roman" w:eastAsia="Times New Roman" w:hAnsi="Times New Roman"/>
          <w:b w:val="false"/>
          <w:bCs w:val="false"/>
          <w:i w:val="false"/>
          <w:iCs w:val="false"/>
          <w:sz w:val="24"/>
          <w:szCs w:val="24"/>
        </w:rPr>
        <w:t xml:space="preserve">The cosmic microwave background carries encoded information about every state the universe passed through since the Big Bang. The oldest observable signal in the universe is, simultaneously, the most history-laden.</w:t>
      </w:r>
    </w:p>
    <w:p>
      <w:pPr>
        <w:spacing w:after="160" w:before="360"/>
      </w:pPr>
      <w:r>
        <w:rPr>
          <w:rFonts w:ascii="Times New Roman" w:cs="Times New Roman" w:eastAsia="Times New Roman" w:hAnsi="Times New Roman"/>
          <w:b/>
          <w:bCs/>
          <w:sz w:val="24"/>
          <w:szCs w:val="24"/>
        </w:rPr>
        <w:t xml:space="preserve">4. Why This Pattern Recurs</w:t>
      </w:r>
    </w:p>
    <w:p>
      <w:pPr>
        <w:spacing w:after="160" w:line="360"/>
        <w:jc w:val="both"/>
      </w:pPr>
      <w:r>
        <w:rPr>
          <w:rFonts w:ascii="Times New Roman" w:cs="Times New Roman" w:eastAsia="Times New Roman" w:hAnsi="Times New Roman"/>
          <w:sz w:val="24"/>
          <w:szCs w:val="24"/>
        </w:rPr>
        <w:t xml:space="preserve">We propose that history-encoded signaling is not coincidental across domains but reflects a structural requirement of systems under selection pressure. Any system that must act appropriately — not merely react to immediate input but respond in context — faces a fundamental design choice: retrieve context from external storage before acting, or embed context in the signal itself.</w:t>
      </w:r>
    </w:p>
    <w:p>
      <w:pPr>
        <w:spacing w:after="160" w:line="360"/>
        <w:ind w:firstLine="480"/>
        <w:jc w:val="both"/>
      </w:pPr>
      <w:r>
        <w:rPr>
          <w:rFonts w:ascii="Times New Roman" w:cs="Times New Roman" w:eastAsia="Times New Roman" w:hAnsi="Times New Roman"/>
          <w:sz w:val="24"/>
          <w:szCs w:val="24"/>
        </w:rPr>
        <w:t xml:space="preserve">The first option introduces latency, requires a reliable storage system, and creates a single point of failure. The second option — history-in-signal — is faster, more robust, and self-contained. Natural selection, market competition, and engineering optimization all converge on the same solution: embed the history in the signal.</w:t>
      </w:r>
    </w:p>
    <w:p>
      <w:pPr>
        <w:spacing w:after="160" w:before="360"/>
      </w:pPr>
      <w:r>
        <w:rPr>
          <w:rFonts w:ascii="Times New Roman" w:cs="Times New Roman" w:eastAsia="Times New Roman" w:hAnsi="Times New Roman"/>
          <w:b/>
          <w:bCs/>
          <w:sz w:val="24"/>
          <w:szCs w:val="24"/>
        </w:rPr>
        <w:t xml:space="preserve">5. Limitations</w:t>
      </w:r>
    </w:p>
    <w:p>
      <w:pPr>
        <w:spacing w:after="160" w:line="360"/>
        <w:jc w:val="both"/>
      </w:pPr>
      <w:r>
        <w:rPr>
          <w:rFonts w:ascii="Times New Roman" w:cs="Times New Roman" w:eastAsia="Times New Roman" w:hAnsi="Times New Roman"/>
          <w:sz w:val="24"/>
          <w:szCs w:val="24"/>
        </w:rPr>
        <w:t xml:space="preserve">A framework that identifies the same pattern across fifteen domains risks unfalsifiability. If the pattern is found everywhere, it may be too flexible to be wrong — and therefore too flexible to be useful.</w:t>
      </w:r>
    </w:p>
    <w:p>
      <w:pPr>
        <w:spacing w:after="160" w:line="360"/>
        <w:ind w:firstLine="480"/>
        <w:jc w:val="both"/>
      </w:pPr>
      <w:r>
        <w:rPr>
          <w:rFonts w:ascii="Times New Roman" w:cs="Times New Roman" w:eastAsia="Times New Roman" w:hAnsi="Times New Roman"/>
          <w:sz w:val="24"/>
          <w:szCs w:val="24"/>
        </w:rPr>
        <w:t xml:space="preserve">We address this concern directly. The universal principle itself is a meta-observation — a structural pattern, not a falsifiable claim. Its value lies in the specific, falsifiable claims it generates in individual domains. The synaptic residue hypothesis (Paper 1) predicts that identical stimuli at synapses with different histories produce different signals. The Alzheimer’s reframing (Paper 2) predicts that residue-fidelity restoration should improve function independent of amyloid clearance. The entanglement proposal (Paper 3) predicts that decoherence signatures should vary with origin complexity. Each of these is independently testable. The universal principle is the observation that connects them, not a substitute for testing them.</w:t>
      </w:r>
    </w:p>
    <w:p>
      <w:pPr>
        <w:spacing w:after="160" w:before="360"/>
      </w:pPr>
      <w:r>
        <w:rPr>
          <w:rFonts w:ascii="Times New Roman" w:cs="Times New Roman" w:eastAsia="Times New Roman" w:hAnsi="Times New Roman"/>
          <w:b/>
          <w:bCs/>
          <w:sz w:val="24"/>
          <w:szCs w:val="24"/>
        </w:rPr>
        <w:t xml:space="preserve">6. Conclusion</w:t>
      </w:r>
    </w:p>
    <w:p>
      <w:pPr>
        <w:spacing w:after="160" w:line="360"/>
        <w:jc w:val="both"/>
      </w:pPr>
      <w:r>
        <w:rPr>
          <w:rFonts w:ascii="Times New Roman" w:cs="Times New Roman" w:eastAsia="Times New Roman" w:hAnsi="Times New Roman"/>
          <w:sz w:val="24"/>
          <w:szCs w:val="24"/>
        </w:rPr>
        <w:t xml:space="preserve">Across fifteen domains — from the first replication of RNA to the architecture of transformer neural networks — meaningful signals carry their own history. Four structural components recur: signal, history payload, temporal marker, and tamper evidence. This pattern appears wherever information-bearing systems face the requirement of contextual action. We propose that it reflects a universal design principle: meaningful signals are never context-free. The History-Encoding Principle does not replace domain-specific theories. It identifies the structural commonality beneath them and generates testable predictions within them.</w:t>
      </w:r>
    </w:p>
    <w:p>
      <w:pPr>
        <w:spacing w:after="160" w:before="360"/>
      </w:pPr>
      <w:r>
        <w:rPr>
          <w:rFonts w:ascii="Times New Roman" w:cs="Times New Roman" w:eastAsia="Times New Roman" w:hAnsi="Times New Roman"/>
          <w:b/>
          <w:bCs/>
          <w:sz w:val="24"/>
          <w:szCs w:val="24"/>
        </w:rPr>
        <w:t xml:space="preserve">References</w:t>
      </w:r>
    </w:p>
    <w:p>
      <w:pPr>
        <w:spacing w:after="80" w:line="276"/>
        <w:ind w:left="480" w:hanging="480"/>
      </w:pPr>
      <w:r>
        <w:rPr>
          <w:rFonts w:ascii="Times New Roman" w:cs="Times New Roman" w:eastAsia="Times New Roman" w:hAnsi="Times New Roman"/>
          <w:sz w:val="20"/>
          <w:szCs w:val="20"/>
        </w:rPr>
        <w:t xml:space="preserve">Goss, M.J. (2026a). On the Residue of Prior Signals. Quantiterate Independent Research.</w:t>
      </w:r>
    </w:p>
    <w:p>
      <w:pPr>
        <w:spacing w:after="80" w:line="276"/>
        <w:ind w:left="480" w:hanging="480"/>
      </w:pPr>
      <w:r>
        <w:rPr>
          <w:rFonts w:ascii="Times New Roman" w:cs="Times New Roman" w:eastAsia="Times New Roman" w:hAnsi="Times New Roman"/>
          <w:sz w:val="20"/>
          <w:szCs w:val="20"/>
        </w:rPr>
        <w:t xml:space="preserve">Goss, M.J. (2026b). Signal Fidelity, Not Storage Erasure. Quantiterate Independent Research.</w:t>
      </w:r>
    </w:p>
    <w:p>
      <w:pPr>
        <w:spacing w:after="80" w:line="276"/>
        <w:ind w:left="480" w:hanging="480"/>
      </w:pPr>
      <w:r>
        <w:rPr>
          <w:rFonts w:ascii="Times New Roman" w:cs="Times New Roman" w:eastAsia="Times New Roman" w:hAnsi="Times New Roman"/>
          <w:sz w:val="20"/>
          <w:szCs w:val="20"/>
        </w:rPr>
        <w:t xml:space="preserve">Goss, M.J. (2026c). Entanglement Without Mystery. Quantiterate Independent Research.</w:t>
      </w:r>
    </w:p>
    <w:p>
      <w:pPr>
        <w:spacing w:after="80" w:line="276"/>
        <w:ind w:left="480" w:hanging="480"/>
      </w:pPr>
      <w:r>
        <w:rPr>
          <w:rFonts w:ascii="Times New Roman" w:cs="Times New Roman" w:eastAsia="Times New Roman" w:hAnsi="Times New Roman"/>
          <w:sz w:val="20"/>
          <w:szCs w:val="20"/>
        </w:rPr>
        <w:t xml:space="preserve">Bhatt, D.H., et al. (2022). Synaptic memory survives molecular turnover. PNAS, 119(42).</w:t>
      </w:r>
    </w:p>
    <w:p>
      <w:pPr>
        <w:spacing w:after="80" w:line="276"/>
        <w:ind w:left="480" w:hanging="480"/>
      </w:pPr>
      <w:r>
        <w:rPr>
          <w:rFonts w:ascii="Times New Roman" w:cs="Times New Roman" w:eastAsia="Times New Roman" w:hAnsi="Times New Roman"/>
          <w:sz w:val="20"/>
          <w:szCs w:val="20"/>
        </w:rPr>
        <w:t xml:space="preserve">Bhatt, N., et al. (2024). Asymmetric histone inheritance and epigenetic noise. Science, 384(6693).</w:t>
      </w:r>
    </w:p>
    <w:p>
      <w:pPr>
        <w:spacing w:after="80" w:line="276"/>
        <w:ind w:left="480" w:hanging="480"/>
      </w:pPr>
      <w:r>
        <w:rPr>
          <w:rFonts w:ascii="Times New Roman" w:cs="Times New Roman" w:eastAsia="Times New Roman" w:hAnsi="Times New Roman"/>
          <w:sz w:val="20"/>
          <w:szCs w:val="20"/>
        </w:rPr>
        <w:t xml:space="preserve">Shannon, C.E. (1948). A Mathematical Theory of Communication. Bell System Technical Journal, 27(3).</w:t>
      </w:r>
    </w:p>
    <w:p>
      <w:pPr>
        <w:spacing w:after="80" w:line="276"/>
        <w:ind w:left="480" w:hanging="480"/>
      </w:pPr>
      <w:r>
        <w:rPr>
          <w:rFonts w:ascii="Times New Roman" w:cs="Times New Roman" w:eastAsia="Times New Roman" w:hAnsi="Times New Roman"/>
          <w:sz w:val="20"/>
          <w:szCs w:val="20"/>
        </w:rPr>
        <w:t xml:space="preserve">Owen, J., et al. (2023). Chromosomal contact networks as associative memory. Science, 382(6673).</w:t>
      </w:r>
    </w:p>
    <w:p>
      <w:pPr>
        <w:spacing w:after="80" w:line="276"/>
        <w:ind w:left="480" w:hanging="480"/>
      </w:pPr>
      <w:r>
        <w:rPr>
          <w:rFonts w:ascii="Times New Roman" w:cs="Times New Roman" w:eastAsia="Times New Roman" w:hAnsi="Times New Roman"/>
          <w:sz w:val="20"/>
          <w:szCs w:val="20"/>
        </w:rPr>
        <w:t xml:space="preserve">Price, H. &amp; Wharton, K. (2024). Entanglement as a mechanism. Studies in History and Philosophy of Science.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2026-05-10T12:22:15.304Z</dcterms:created>
  <dcterms:modified xsi:type="dcterms:W3CDTF">2026-05-10T12:22:15.304Z</dcterms:modified>
</cp:coreProperties>
</file>

<file path=docProps/custom.xml><?xml version="1.0" encoding="utf-8"?>
<Properties xmlns="http://schemas.openxmlformats.org/officeDocument/2006/custom-properties" xmlns:vt="http://schemas.openxmlformats.org/officeDocument/2006/docPropsVTypes"/>
</file>